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370D21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5955BC">
        <w:rPr>
          <w:b/>
          <w:bCs/>
          <w:sz w:val="28"/>
          <w:szCs w:val="28"/>
        </w:rPr>
        <w:t>llegato</w:t>
      </w:r>
      <w:r>
        <w:rPr>
          <w:b/>
          <w:bCs/>
          <w:sz w:val="28"/>
          <w:szCs w:val="28"/>
        </w:rPr>
        <w:t xml:space="preserve">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  <w:r w:rsidR="006C3F67">
        <w:rPr>
          <w:b/>
          <w:sz w:val="28"/>
          <w:szCs w:val="28"/>
        </w:rPr>
        <w:t xml:space="preserve"> – LOTTO </w:t>
      </w:r>
      <w:r w:rsidR="00BA76C3">
        <w:rPr>
          <w:b/>
          <w:sz w:val="28"/>
          <w:szCs w:val="28"/>
        </w:rPr>
        <w:t>1</w:t>
      </w:r>
    </w:p>
    <w:p w:rsidR="00774908" w:rsidRDefault="00774908" w:rsidP="00AA6977">
      <w:pPr>
        <w:pStyle w:val="Default"/>
        <w:jc w:val="both"/>
      </w:pPr>
    </w:p>
    <w:p w:rsidR="00164B23" w:rsidRPr="00164B23" w:rsidRDefault="00E43039" w:rsidP="00164B23">
      <w:pPr>
        <w:pStyle w:val="Default"/>
        <w:jc w:val="both"/>
      </w:pPr>
      <w:r>
        <w:t xml:space="preserve">Per la </w:t>
      </w:r>
      <w:r w:rsidR="00164B23" w:rsidRPr="00164B23">
        <w:t xml:space="preserve">procedura aperta ai sensi del D.Lgs. n.163/2006 </w:t>
      </w:r>
      <w:r w:rsidR="00BA76C3" w:rsidRPr="00BA76C3">
        <w:t>per l’affidamento dei servizi assicurativi relativi alla copertura ‘All risk’ a tutela del patrimonio di IPZS ed alla ‘Responsabilità Civile verso Terzi e Prestatori d’opera’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16542D">
        <w:t>26</w:t>
      </w:r>
      <w:r w:rsidR="00756F3B" w:rsidRPr="000522A1">
        <w:t>/</w:t>
      </w:r>
      <w:r w:rsidR="0016542D">
        <w:t>07</w:t>
      </w:r>
      <w:r w:rsidR="00756F3B" w:rsidRPr="000522A1">
        <w:t>/201</w:t>
      </w:r>
      <w:r w:rsidR="0016542D">
        <w:t>1</w:t>
      </w:r>
      <w:r w:rsidR="00756F3B" w:rsidRPr="000522A1">
        <w:t xml:space="preserve"> con il numero di riferimento n. </w:t>
      </w:r>
      <w:r w:rsidR="0016542D" w:rsidRPr="0016542D">
        <w:t>234668-2011-IT</w:t>
      </w:r>
      <w:r w:rsidR="00756F3B" w:rsidRPr="000522A1">
        <w:t>.</w:t>
      </w:r>
    </w:p>
    <w:p w:rsidR="00E43039" w:rsidRDefault="00E43039" w:rsidP="00AA6977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370D21" w:rsidRPr="00370D21" w:rsidRDefault="00370D21" w:rsidP="00AA6977">
      <w:pPr>
        <w:pStyle w:val="Default"/>
        <w:jc w:val="both"/>
        <w:rPr>
          <w:sz w:val="20"/>
          <w:szCs w:val="20"/>
        </w:rPr>
      </w:pPr>
      <w:r w:rsidRPr="00370D21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>Del</w:t>
      </w:r>
      <w:r w:rsidR="00AF7E98">
        <w:rPr>
          <w:sz w:val="20"/>
          <w:szCs w:val="20"/>
        </w:rPr>
        <w:t>egataria di una Coassicurazione.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>mprese partecipanti a RTI, Consorzi o GEIE costituiti o costituendi</w:t>
      </w:r>
      <w:r w:rsidR="0029604E">
        <w:rPr>
          <w:i/>
          <w:iCs/>
        </w:rPr>
        <w:t>, Coassicurazione</w:t>
      </w:r>
      <w:r w:rsidR="00774908">
        <w:rPr>
          <w:i/>
          <w:iCs/>
        </w:rPr>
        <w:t xml:space="preserve">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297854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Partecipante GEIE non contrattualizzato;</w:t>
      </w:r>
    </w:p>
    <w:p w:rsidR="0029604E" w:rsidRPr="00297854" w:rsidRDefault="00297854" w:rsidP="00AA6977">
      <w:pPr>
        <w:pStyle w:val="Default"/>
        <w:jc w:val="both"/>
        <w:rPr>
          <w:sz w:val="20"/>
          <w:szCs w:val="20"/>
        </w:rPr>
      </w:pPr>
      <w:r w:rsidRPr="00297854"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Coassicuratrice di </w:t>
      </w:r>
      <w:r w:rsidR="00AE69D2">
        <w:rPr>
          <w:sz w:val="20"/>
          <w:szCs w:val="20"/>
        </w:rPr>
        <w:t xml:space="preserve">una </w:t>
      </w:r>
      <w:r>
        <w:rPr>
          <w:sz w:val="20"/>
          <w:szCs w:val="20"/>
        </w:rPr>
        <w:t>Coassicurazione</w:t>
      </w:r>
      <w:r w:rsidR="00AF7E98">
        <w:rPr>
          <w:sz w:val="20"/>
          <w:szCs w:val="20"/>
        </w:rPr>
        <w:t>.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Pr="00BA76C3" w:rsidRDefault="00774908" w:rsidP="009C7BEA">
      <w:pPr>
        <w:pStyle w:val="Default"/>
        <w:spacing w:after="120"/>
        <w:ind w:right="40"/>
        <w:jc w:val="both"/>
        <w:rPr>
          <w:b/>
        </w:rPr>
      </w:pPr>
      <w:r w:rsidRPr="00BA76C3">
        <w:rPr>
          <w:b/>
        </w:rPr>
        <w:t xml:space="preserve">di seguito ed in conformità a quanto previsto dalle disposizioni del Disciplinare di Gara </w:t>
      </w:r>
      <w:r w:rsidR="0029604E">
        <w:rPr>
          <w:b/>
        </w:rPr>
        <w:t xml:space="preserve">al </w:t>
      </w:r>
      <w:r w:rsidRPr="00BA76C3">
        <w:rPr>
          <w:b/>
        </w:rPr>
        <w:t xml:space="preserve">Titolo II punto </w:t>
      </w:r>
      <w:r w:rsidR="000A38EC" w:rsidRPr="00BA76C3">
        <w:rPr>
          <w:b/>
        </w:rPr>
        <w:t xml:space="preserve">3 </w:t>
      </w:r>
      <w:r w:rsidR="00E64EB8">
        <w:rPr>
          <w:b/>
        </w:rPr>
        <w:t xml:space="preserve">il premio </w:t>
      </w:r>
      <w:r w:rsidR="0029604E">
        <w:rPr>
          <w:b/>
        </w:rPr>
        <w:t xml:space="preserve">imponibile </w:t>
      </w:r>
      <w:r w:rsidR="00E64EB8">
        <w:rPr>
          <w:b/>
        </w:rPr>
        <w:t>offerto</w:t>
      </w:r>
      <w:r w:rsidR="00BA76C3" w:rsidRPr="00BA76C3">
        <w:rPr>
          <w:b/>
        </w:rPr>
        <w:t xml:space="preserve"> rispetto all’importo del premio imponibile a base d’asta</w:t>
      </w:r>
      <w:r w:rsidRPr="00BA76C3">
        <w:rPr>
          <w:b/>
          <w:bCs/>
          <w:iCs/>
        </w:rPr>
        <w:t>:</w:t>
      </w:r>
      <w:r w:rsidRPr="00BA76C3">
        <w:rPr>
          <w:b/>
        </w:rPr>
        <w:t xml:space="preserve"> </w:t>
      </w:r>
    </w:p>
    <w:p w:rsidR="00774908" w:rsidRDefault="00E047E5" w:rsidP="009B1B6E">
      <w:pPr>
        <w:pStyle w:val="Default"/>
        <w:spacing w:after="120"/>
        <w:ind w:right="40"/>
        <w:jc w:val="both"/>
        <w:rPr>
          <w:color w:val="auto"/>
        </w:rPr>
      </w:pPr>
      <w:r w:rsidRPr="00CD426A">
        <w:rPr>
          <w:color w:val="auto"/>
        </w:rPr>
        <w:object w:dxaOrig="13378" w:dyaOrig="8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308.25pt" o:ole="">
            <v:imagedata r:id="rId8" o:title=""/>
          </v:shape>
          <o:OLEObject Type="Embed" ProgID="Excel.Sheet.12" ShapeID="_x0000_i1025" DrawAspect="Content" ObjectID="_1373381346" r:id="rId9"/>
        </w:object>
      </w:r>
      <w:bookmarkStart w:id="0" w:name="_GoBack"/>
      <w:bookmarkEnd w:id="0"/>
    </w:p>
    <w:p w:rsidR="00C55E2D" w:rsidRDefault="00C55E2D" w:rsidP="00C0337F">
      <w:pPr>
        <w:pStyle w:val="Default"/>
        <w:spacing w:after="60"/>
        <w:ind w:right="-40"/>
        <w:jc w:val="both"/>
        <w:rPr>
          <w:color w:val="auto"/>
        </w:rPr>
      </w:pPr>
    </w:p>
    <w:tbl>
      <w:tblPr>
        <w:tblW w:w="7499" w:type="dxa"/>
        <w:jc w:val="center"/>
        <w:tblInd w:w="108" w:type="dxa"/>
        <w:tblLayout w:type="fixed"/>
        <w:tblLook w:val="0000"/>
      </w:tblPr>
      <w:tblGrid>
        <w:gridCol w:w="3620"/>
        <w:gridCol w:w="3879"/>
      </w:tblGrid>
      <w:tr w:rsidR="00C0337F" w:rsidRPr="00C0337F" w:rsidTr="00EA2E91">
        <w:trPr>
          <w:trHeight w:val="424"/>
          <w:jc w:val="center"/>
        </w:trPr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37F" w:rsidRPr="00C0337F" w:rsidRDefault="00C0337F" w:rsidP="008301EA">
            <w:pPr>
              <w:pStyle w:val="Default"/>
              <w:spacing w:after="60"/>
              <w:ind w:right="-40"/>
              <w:rPr>
                <w:b/>
                <w:bCs/>
                <w:iCs/>
              </w:rPr>
            </w:pPr>
            <w:r w:rsidRPr="00C0337F">
              <w:rPr>
                <w:b/>
                <w:bCs/>
                <w:iCs/>
              </w:rPr>
              <w:t>Partita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37F" w:rsidRPr="00C0337F" w:rsidRDefault="00C0337F" w:rsidP="00723B99">
            <w:pPr>
              <w:pStyle w:val="Default"/>
              <w:spacing w:after="60"/>
              <w:ind w:right="-40"/>
              <w:rPr>
                <w:b/>
                <w:bCs/>
                <w:iCs/>
              </w:rPr>
            </w:pPr>
            <w:r w:rsidRPr="00C0337F">
              <w:rPr>
                <w:b/>
                <w:bCs/>
                <w:iCs/>
              </w:rPr>
              <w:t>Tasso imponibile annuo pro mille</w:t>
            </w:r>
          </w:p>
        </w:tc>
      </w:tr>
      <w:tr w:rsidR="00C0337F" w:rsidRPr="00C0337F" w:rsidTr="00EA2E91">
        <w:trPr>
          <w:trHeight w:val="962"/>
          <w:jc w:val="center"/>
        </w:trPr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37F" w:rsidRPr="00C0337F" w:rsidRDefault="00C0337F" w:rsidP="00C0337F">
            <w:pPr>
              <w:pStyle w:val="Default"/>
              <w:spacing w:after="60"/>
              <w:ind w:right="-40"/>
              <w:jc w:val="both"/>
              <w:rPr>
                <w:bCs/>
                <w:iCs/>
              </w:rPr>
            </w:pPr>
            <w:r w:rsidRPr="00C0337F">
              <w:rPr>
                <w:iCs/>
              </w:rPr>
              <w:t>Terrorismo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37F" w:rsidRPr="00C0337F" w:rsidRDefault="00022C91" w:rsidP="004E4C07">
            <w:pPr>
              <w:pStyle w:val="Default"/>
              <w:spacing w:after="60"/>
              <w:ind w:right="-4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________ </w:t>
            </w:r>
            <w:r w:rsidRPr="00022C91">
              <w:rPr>
                <w:bCs/>
                <w:i/>
                <w:iCs/>
              </w:rPr>
              <w:t>‰</w:t>
            </w:r>
          </w:p>
        </w:tc>
      </w:tr>
    </w:tbl>
    <w:p w:rsidR="00C0337F" w:rsidRDefault="00C0337F" w:rsidP="00C0337F">
      <w:pPr>
        <w:pStyle w:val="Default"/>
        <w:spacing w:after="60"/>
        <w:ind w:right="-40"/>
        <w:jc w:val="both"/>
        <w:rPr>
          <w:color w:val="auto"/>
        </w:rPr>
      </w:pPr>
    </w:p>
    <w:p w:rsidR="009B1B6E" w:rsidRPr="000843E2" w:rsidRDefault="009B1B6E" w:rsidP="00022C91">
      <w:pPr>
        <w:pStyle w:val="Default"/>
        <w:spacing w:after="120"/>
        <w:jc w:val="both"/>
      </w:pPr>
      <w:r w:rsidRPr="000843E2">
        <w:t xml:space="preserve">L’offerta è irrevocabile e vincolante per 180 giorni con decorrenza dal termine di presentazione delle offerte indicato nella documentazione di gara. L’offerta dovrà essere formulata con un massimo di 2 cifre decimali ed espressa in cifre e in lettere. Eventuali decimali ulteriori non saranno presi in </w:t>
      </w:r>
      <w:r w:rsidRPr="000843E2">
        <w:lastRenderedPageBreak/>
        <w:t>considerazione. In caso di discordanza tra il premio imponibile indicato in cifre e quello indicato in lettere nella dichiarazione di offe</w:t>
      </w:r>
      <w:r>
        <w:t>rta prevarrà quello in lettere.</w:t>
      </w:r>
    </w:p>
    <w:p w:rsidR="00587370" w:rsidRPr="00886D87" w:rsidRDefault="009B1B6E" w:rsidP="00587370">
      <w:pPr>
        <w:pStyle w:val="Default"/>
        <w:jc w:val="both"/>
        <w:rPr>
          <w:iCs/>
        </w:rPr>
      </w:pPr>
      <w:r>
        <w:rPr>
          <w:color w:val="auto"/>
        </w:rPr>
        <w:t xml:space="preserve">Per predisporre l’offerta il partecipante dovrà inserire nella tabella sovrastante </w:t>
      </w:r>
      <w:r w:rsidR="00587370">
        <w:rPr>
          <w:color w:val="auto"/>
        </w:rPr>
        <w:t>il premio imponibile offerto P</w:t>
      </w:r>
      <w:r w:rsidR="00587370" w:rsidRPr="0016454F">
        <w:rPr>
          <w:color w:val="auto"/>
          <w:vertAlign w:val="subscript"/>
        </w:rPr>
        <w:t>offerto1</w:t>
      </w:r>
      <w:r w:rsidR="00587370">
        <w:rPr>
          <w:color w:val="auto"/>
        </w:rPr>
        <w:t xml:space="preserve"> (espresso in cifre</w:t>
      </w:r>
      <w:r w:rsidR="00AD6632">
        <w:rPr>
          <w:color w:val="auto"/>
        </w:rPr>
        <w:t xml:space="preserve"> ed in lettere</w:t>
      </w:r>
      <w:r w:rsidR="00587370">
        <w:rPr>
          <w:color w:val="auto"/>
        </w:rPr>
        <w:t xml:space="preserve">), nonché </w:t>
      </w:r>
      <w:r>
        <w:rPr>
          <w:color w:val="auto"/>
        </w:rPr>
        <w:t xml:space="preserve">i premi imponibili annui </w:t>
      </w:r>
      <w:r w:rsidRPr="0016454F">
        <w:rPr>
          <w:color w:val="auto"/>
        </w:rPr>
        <w:t>P</w:t>
      </w:r>
      <w:r w:rsidRPr="0016454F">
        <w:rPr>
          <w:i/>
          <w:color w:val="auto"/>
          <w:vertAlign w:val="subscript"/>
        </w:rPr>
        <w:t>i</w:t>
      </w:r>
      <w:r>
        <w:rPr>
          <w:color w:val="auto"/>
        </w:rPr>
        <w:t xml:space="preserve"> (espressi in </w:t>
      </w:r>
      <w:r w:rsidR="00D22361">
        <w:rPr>
          <w:color w:val="auto"/>
        </w:rPr>
        <w:t>cifre</w:t>
      </w:r>
      <w:r>
        <w:rPr>
          <w:color w:val="auto"/>
        </w:rPr>
        <w:t>) per ciascuna delle partite indicate</w:t>
      </w:r>
      <w:r w:rsidR="00587370">
        <w:rPr>
          <w:color w:val="auto"/>
        </w:rPr>
        <w:t>.</w:t>
      </w:r>
      <w:r>
        <w:rPr>
          <w:color w:val="auto"/>
        </w:rPr>
        <w:t xml:space="preserve"> </w:t>
      </w:r>
      <w:r w:rsidRPr="00C42ED3">
        <w:rPr>
          <w:iCs/>
        </w:rPr>
        <w:t>Nel c</w:t>
      </w:r>
      <w:r>
        <w:rPr>
          <w:iCs/>
        </w:rPr>
        <w:t xml:space="preserve">aso in cui la differenza tra la sommatoria </w:t>
      </w:r>
      <w:r w:rsidRPr="00C42ED3">
        <w:rPr>
          <w:iCs/>
        </w:rPr>
        <w:t>dei premi imponibili annui P</w:t>
      </w:r>
      <w:r w:rsidRPr="00C42ED3">
        <w:rPr>
          <w:i/>
          <w:iCs/>
          <w:vertAlign w:val="subscript"/>
        </w:rPr>
        <w:t>i</w:t>
      </w:r>
      <w:r w:rsidRPr="00C42ED3">
        <w:rPr>
          <w:iCs/>
        </w:rPr>
        <w:t xml:space="preserve"> e quello del P</w:t>
      </w:r>
      <w:r w:rsidRPr="00C42ED3">
        <w:rPr>
          <w:iCs/>
          <w:vertAlign w:val="subscript"/>
        </w:rPr>
        <w:t>offerto1</w:t>
      </w:r>
      <w:r w:rsidRPr="00C42ED3">
        <w:rPr>
          <w:iCs/>
        </w:rPr>
        <w:t xml:space="preserve"> </w:t>
      </w:r>
      <w:r>
        <w:rPr>
          <w:iCs/>
        </w:rPr>
        <w:t>annualizzato risulti</w:t>
      </w:r>
      <w:r w:rsidRPr="00C42ED3">
        <w:rPr>
          <w:iCs/>
        </w:rPr>
        <w:t xml:space="preserve"> </w:t>
      </w:r>
      <w:r w:rsidR="00587370">
        <w:rPr>
          <w:iCs/>
        </w:rPr>
        <w:t>diversa da zero</w:t>
      </w:r>
      <w:r w:rsidRPr="00C42ED3">
        <w:rPr>
          <w:iCs/>
        </w:rPr>
        <w:t xml:space="preserve">, il partecipante </w:t>
      </w:r>
      <w:r>
        <w:rPr>
          <w:iCs/>
        </w:rPr>
        <w:t>sarà tenuto ad</w:t>
      </w:r>
      <w:r w:rsidRPr="00886D87">
        <w:rPr>
          <w:iCs/>
        </w:rPr>
        <w:t xml:space="preserve"> effettuare </w:t>
      </w:r>
      <w:r>
        <w:rPr>
          <w:iCs/>
        </w:rPr>
        <w:t xml:space="preserve">opportuna </w:t>
      </w:r>
      <w:r w:rsidRPr="006E4AB2">
        <w:rPr>
          <w:iCs/>
        </w:rPr>
        <w:t>correzione</w:t>
      </w:r>
      <w:r w:rsidRPr="0072093E">
        <w:rPr>
          <w:iCs/>
        </w:rPr>
        <w:t xml:space="preserve"> </w:t>
      </w:r>
      <w:r w:rsidRPr="00886D87">
        <w:rPr>
          <w:iCs/>
        </w:rPr>
        <w:t>nella tabella</w:t>
      </w:r>
      <w:r w:rsidRPr="00C42ED3">
        <w:rPr>
          <w:iCs/>
        </w:rPr>
        <w:t>.</w:t>
      </w:r>
      <w:r w:rsidR="00587370">
        <w:rPr>
          <w:iCs/>
        </w:rPr>
        <w:t xml:space="preserve"> In caso contrario IPZS applicherà quanto indicato dalla lex specialis di gara al TITOLO II, punto 3 del disciplinare di gara.   </w:t>
      </w:r>
    </w:p>
    <w:p w:rsidR="00587370" w:rsidRDefault="00587370" w:rsidP="00587370">
      <w:pPr>
        <w:pStyle w:val="Default"/>
        <w:spacing w:after="60"/>
        <w:ind w:right="-40"/>
        <w:jc w:val="both"/>
        <w:rPr>
          <w:color w:val="auto"/>
        </w:rPr>
      </w:pPr>
    </w:p>
    <w:p w:rsidR="009B1B6E" w:rsidRPr="00C42ED3" w:rsidRDefault="009B1B6E" w:rsidP="009B1B6E">
      <w:pPr>
        <w:pStyle w:val="Default"/>
        <w:spacing w:after="60"/>
        <w:ind w:right="-40"/>
        <w:jc w:val="both"/>
        <w:rPr>
          <w:iCs/>
        </w:rPr>
      </w:pPr>
    </w:p>
    <w:p w:rsidR="00905AEE" w:rsidRDefault="00905AEE" w:rsidP="00C0337F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C55E2D" w:rsidRDefault="00C55E2D" w:rsidP="00C0337F">
      <w:pPr>
        <w:pStyle w:val="Default"/>
        <w:spacing w:after="120"/>
        <w:ind w:right="40"/>
        <w:rPr>
          <w:i/>
          <w:iCs/>
          <w:color w:val="auto"/>
          <w:sz w:val="20"/>
          <w:szCs w:val="20"/>
        </w:rPr>
      </w:pPr>
    </w:p>
    <w:p w:rsidR="00905AEE" w:rsidRDefault="00905AEE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774908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</w:t>
      </w:r>
      <w:r w:rsidR="004535DC">
        <w:rPr>
          <w:color w:val="auto"/>
        </w:rPr>
        <w:t>;</w:t>
      </w:r>
    </w:p>
    <w:p w:rsidR="004535DC" w:rsidRPr="00A51A39" w:rsidRDefault="004535DC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 w:rsidRPr="004535DC">
        <w:rPr>
          <w:color w:val="auto"/>
        </w:rPr>
        <w:t xml:space="preserve">in caso di </w:t>
      </w:r>
      <w:r w:rsidRPr="004535DC">
        <w:rPr>
          <w:i/>
          <w:color w:val="auto"/>
        </w:rPr>
        <w:t>Coassicurazione</w:t>
      </w:r>
      <w:r w:rsidRPr="004535DC">
        <w:rPr>
          <w:color w:val="auto"/>
        </w:rPr>
        <w:t>, l’offerta deve essere sottoscritta dai rappresentanti (ovvero da procuratori dei rappresentanti, muniti di procura notarile) di tutte le Imprese coassicuratrici.</w:t>
      </w:r>
    </w:p>
    <w:sectPr w:rsidR="004535DC" w:rsidRPr="00A51A39" w:rsidSect="00E7289A">
      <w:footerReference w:type="default" r:id="rId10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8D5" w:rsidRDefault="00BC68D5" w:rsidP="00654BDA">
      <w:r>
        <w:separator/>
      </w:r>
    </w:p>
  </w:endnote>
  <w:endnote w:type="continuationSeparator" w:id="0">
    <w:p w:rsidR="00BC68D5" w:rsidRDefault="00BC68D5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D32" w:rsidRDefault="00CD426A">
    <w:pPr>
      <w:pStyle w:val="Pidipagina"/>
      <w:jc w:val="right"/>
    </w:pPr>
    <w:r>
      <w:fldChar w:fldCharType="begin"/>
    </w:r>
    <w:r w:rsidR="00022C91">
      <w:instrText xml:space="preserve"> PAGE   \* MERGEFORMAT </w:instrText>
    </w:r>
    <w:r>
      <w:fldChar w:fldCharType="separate"/>
    </w:r>
    <w:r w:rsidR="00AD6632">
      <w:rPr>
        <w:noProof/>
      </w:rPr>
      <w:t>3</w:t>
    </w:r>
    <w:r>
      <w:rPr>
        <w:noProof/>
      </w:rPr>
      <w:fldChar w:fldCharType="end"/>
    </w:r>
  </w:p>
  <w:p w:rsidR="00C02D32" w:rsidRDefault="00C02D3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8D5" w:rsidRDefault="00BC68D5" w:rsidP="00654BDA">
      <w:r>
        <w:separator/>
      </w:r>
    </w:p>
  </w:footnote>
  <w:footnote w:type="continuationSeparator" w:id="0">
    <w:p w:rsidR="00BC68D5" w:rsidRDefault="00BC68D5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B005DC5"/>
    <w:multiLevelType w:val="hybridMultilevel"/>
    <w:tmpl w:val="A976A4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160DF"/>
    <w:rsid w:val="00017E3D"/>
    <w:rsid w:val="00022C91"/>
    <w:rsid w:val="00047C8F"/>
    <w:rsid w:val="00051602"/>
    <w:rsid w:val="00052B41"/>
    <w:rsid w:val="00071101"/>
    <w:rsid w:val="000843E2"/>
    <w:rsid w:val="00093318"/>
    <w:rsid w:val="000A27DE"/>
    <w:rsid w:val="000A38EC"/>
    <w:rsid w:val="000F5B29"/>
    <w:rsid w:val="00134ED9"/>
    <w:rsid w:val="0016454F"/>
    <w:rsid w:val="00164866"/>
    <w:rsid w:val="00164B23"/>
    <w:rsid w:val="0016542D"/>
    <w:rsid w:val="00171A7C"/>
    <w:rsid w:val="001C54B2"/>
    <w:rsid w:val="001C71A7"/>
    <w:rsid w:val="001E718D"/>
    <w:rsid w:val="001F5CB4"/>
    <w:rsid w:val="0024034C"/>
    <w:rsid w:val="0025577A"/>
    <w:rsid w:val="00266166"/>
    <w:rsid w:val="00271DD9"/>
    <w:rsid w:val="0028460D"/>
    <w:rsid w:val="002847EC"/>
    <w:rsid w:val="00292481"/>
    <w:rsid w:val="00295BB8"/>
    <w:rsid w:val="0029604E"/>
    <w:rsid w:val="00297854"/>
    <w:rsid w:val="002A203E"/>
    <w:rsid w:val="002A53F9"/>
    <w:rsid w:val="002C3263"/>
    <w:rsid w:val="00306CE9"/>
    <w:rsid w:val="0031008F"/>
    <w:rsid w:val="003643DD"/>
    <w:rsid w:val="00364F35"/>
    <w:rsid w:val="00370D21"/>
    <w:rsid w:val="00376800"/>
    <w:rsid w:val="00396831"/>
    <w:rsid w:val="003E1289"/>
    <w:rsid w:val="00424EC7"/>
    <w:rsid w:val="00446159"/>
    <w:rsid w:val="004535DC"/>
    <w:rsid w:val="004D7C2C"/>
    <w:rsid w:val="004E4C07"/>
    <w:rsid w:val="004F1C1E"/>
    <w:rsid w:val="004F34C3"/>
    <w:rsid w:val="004F526D"/>
    <w:rsid w:val="0055381B"/>
    <w:rsid w:val="005623D3"/>
    <w:rsid w:val="00587370"/>
    <w:rsid w:val="005955BC"/>
    <w:rsid w:val="005B7C6B"/>
    <w:rsid w:val="005C3DAF"/>
    <w:rsid w:val="005D5E43"/>
    <w:rsid w:val="005D6B4E"/>
    <w:rsid w:val="0060025E"/>
    <w:rsid w:val="00623D5A"/>
    <w:rsid w:val="006259EC"/>
    <w:rsid w:val="00651987"/>
    <w:rsid w:val="00654BDA"/>
    <w:rsid w:val="00665F01"/>
    <w:rsid w:val="00690101"/>
    <w:rsid w:val="00695F91"/>
    <w:rsid w:val="006969F3"/>
    <w:rsid w:val="006A0BDC"/>
    <w:rsid w:val="006A41D2"/>
    <w:rsid w:val="006A60FA"/>
    <w:rsid w:val="006C3F67"/>
    <w:rsid w:val="006D4896"/>
    <w:rsid w:val="006E7451"/>
    <w:rsid w:val="00723B99"/>
    <w:rsid w:val="00725AF2"/>
    <w:rsid w:val="00737724"/>
    <w:rsid w:val="0075414A"/>
    <w:rsid w:val="00756F3B"/>
    <w:rsid w:val="007638E5"/>
    <w:rsid w:val="00774908"/>
    <w:rsid w:val="00793AB4"/>
    <w:rsid w:val="007A45B4"/>
    <w:rsid w:val="007B3F1A"/>
    <w:rsid w:val="007B486E"/>
    <w:rsid w:val="007B6B87"/>
    <w:rsid w:val="007C4E24"/>
    <w:rsid w:val="00807CCD"/>
    <w:rsid w:val="00826020"/>
    <w:rsid w:val="008301EA"/>
    <w:rsid w:val="00842094"/>
    <w:rsid w:val="008825BE"/>
    <w:rsid w:val="00892F14"/>
    <w:rsid w:val="008B253B"/>
    <w:rsid w:val="008E0596"/>
    <w:rsid w:val="008E4853"/>
    <w:rsid w:val="008E67BF"/>
    <w:rsid w:val="008F1780"/>
    <w:rsid w:val="00905AEE"/>
    <w:rsid w:val="00914FC7"/>
    <w:rsid w:val="00925982"/>
    <w:rsid w:val="00947A55"/>
    <w:rsid w:val="00980742"/>
    <w:rsid w:val="0099447E"/>
    <w:rsid w:val="009B1B6E"/>
    <w:rsid w:val="009C585D"/>
    <w:rsid w:val="009C7BEA"/>
    <w:rsid w:val="009D4399"/>
    <w:rsid w:val="009E35CA"/>
    <w:rsid w:val="009F2CC1"/>
    <w:rsid w:val="00A51A39"/>
    <w:rsid w:val="00A5297E"/>
    <w:rsid w:val="00A87DC5"/>
    <w:rsid w:val="00A91F16"/>
    <w:rsid w:val="00AA6977"/>
    <w:rsid w:val="00AB17C7"/>
    <w:rsid w:val="00AD424E"/>
    <w:rsid w:val="00AD65C9"/>
    <w:rsid w:val="00AD6632"/>
    <w:rsid w:val="00AE2A47"/>
    <w:rsid w:val="00AE69D2"/>
    <w:rsid w:val="00AE7570"/>
    <w:rsid w:val="00AF7E98"/>
    <w:rsid w:val="00B50890"/>
    <w:rsid w:val="00B920C3"/>
    <w:rsid w:val="00B93A1B"/>
    <w:rsid w:val="00BA76C3"/>
    <w:rsid w:val="00BC68D5"/>
    <w:rsid w:val="00BC7A6A"/>
    <w:rsid w:val="00BD1664"/>
    <w:rsid w:val="00BE7CB4"/>
    <w:rsid w:val="00C02D32"/>
    <w:rsid w:val="00C0337F"/>
    <w:rsid w:val="00C05C42"/>
    <w:rsid w:val="00C1158E"/>
    <w:rsid w:val="00C13D97"/>
    <w:rsid w:val="00C42ED3"/>
    <w:rsid w:val="00C43558"/>
    <w:rsid w:val="00C55E2D"/>
    <w:rsid w:val="00C768B5"/>
    <w:rsid w:val="00CA7188"/>
    <w:rsid w:val="00CD426A"/>
    <w:rsid w:val="00D22361"/>
    <w:rsid w:val="00D57972"/>
    <w:rsid w:val="00D7075E"/>
    <w:rsid w:val="00D80045"/>
    <w:rsid w:val="00D85271"/>
    <w:rsid w:val="00DB0C53"/>
    <w:rsid w:val="00DB4450"/>
    <w:rsid w:val="00E047E5"/>
    <w:rsid w:val="00E156D0"/>
    <w:rsid w:val="00E41098"/>
    <w:rsid w:val="00E43039"/>
    <w:rsid w:val="00E46343"/>
    <w:rsid w:val="00E52122"/>
    <w:rsid w:val="00E6142F"/>
    <w:rsid w:val="00E64EB8"/>
    <w:rsid w:val="00E66ACE"/>
    <w:rsid w:val="00E7289A"/>
    <w:rsid w:val="00EA2E91"/>
    <w:rsid w:val="00EA6398"/>
    <w:rsid w:val="00EE7FE0"/>
    <w:rsid w:val="00EF2A42"/>
    <w:rsid w:val="00F01D29"/>
    <w:rsid w:val="00F0765D"/>
    <w:rsid w:val="00F14503"/>
    <w:rsid w:val="00F44663"/>
    <w:rsid w:val="00F55E07"/>
    <w:rsid w:val="00F814F2"/>
    <w:rsid w:val="00FC4460"/>
    <w:rsid w:val="00FC787F"/>
    <w:rsid w:val="00FF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Foglio_di_lavoro_di_Microsoft_Office_Excel1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850D8-2C11-4194-A4E3-48D59125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 </cp:lastModifiedBy>
  <cp:revision>2</cp:revision>
  <cp:lastPrinted>2010-06-04T10:32:00Z</cp:lastPrinted>
  <dcterms:created xsi:type="dcterms:W3CDTF">2011-07-28T16:03:00Z</dcterms:created>
  <dcterms:modified xsi:type="dcterms:W3CDTF">2011-07-28T16:03:00Z</dcterms:modified>
</cp:coreProperties>
</file>